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269FF" w14:textId="0AABABBC" w:rsidR="002B7477" w:rsidRPr="00634339" w:rsidRDefault="002B7477" w:rsidP="002B7477">
      <w:pPr>
        <w:spacing w:line="480" w:lineRule="auto"/>
        <w:rPr>
          <w:rFonts w:ascii="Times New Roman" w:hAnsi="Times New Roman" w:cs="Times New Roman" w:hint="eastAsia"/>
          <w:lang w:val="en-US"/>
        </w:rPr>
      </w:pPr>
      <w:r w:rsidRPr="00FA04F1">
        <w:rPr>
          <w:b/>
        </w:rPr>
        <w:t>Supplementary Material</w:t>
      </w:r>
      <w:bookmarkStart w:id="0" w:name="_GoBack"/>
      <w:bookmarkEnd w:id="0"/>
      <w:r w:rsidRPr="00FA04F1">
        <w:rPr>
          <w:b/>
        </w:rPr>
        <w:t>:</w:t>
      </w:r>
    </w:p>
    <w:p w14:paraId="4169352D" w14:textId="03E07B93" w:rsidR="002B7477" w:rsidRPr="00C954AF" w:rsidRDefault="002B7477" w:rsidP="002B747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1D7C8FC5" wp14:editId="22E7D69C">
            <wp:extent cx="5538123" cy="1799590"/>
            <wp:effectExtent l="0" t="0" r="5715" b="0"/>
            <wp:docPr id="138202629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026296" name="图片 138202629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8123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CFB">
        <w:rPr>
          <w:rFonts w:ascii="Times New Roman" w:hAnsi="Times New Roman" w:cs="Times New Roman"/>
        </w:rPr>
        <w:t xml:space="preserve"> </w:t>
      </w:r>
    </w:p>
    <w:p w14:paraId="7C29DB82" w14:textId="054F4D6C" w:rsidR="002B7477" w:rsidRPr="00BD4D29" w:rsidRDefault="002B7477" w:rsidP="002B7477">
      <w:pPr>
        <w:spacing w:line="480" w:lineRule="auto"/>
        <w:rPr>
          <w:rFonts w:ascii="Times New Roman" w:hAnsi="Times New Roman" w:cs="Times New Roman"/>
          <w:b/>
          <w:bCs/>
        </w:rPr>
      </w:pPr>
      <w:r w:rsidRPr="00BD4D29">
        <w:rPr>
          <w:rFonts w:ascii="Times New Roman" w:hAnsi="Times New Roman" w:cs="Times New Roman"/>
          <w:b/>
          <w:bCs/>
        </w:rPr>
        <w:t xml:space="preserve">Figure. S1 Prognosis of PDAC </w:t>
      </w:r>
      <w:r w:rsidRPr="00BD4D29">
        <w:rPr>
          <w:rFonts w:ascii="Times New Roman" w:eastAsia="宋体" w:hAnsi="Times New Roman" w:cs="Times New Roman"/>
          <w:b/>
          <w:bCs/>
        </w:rPr>
        <w:t>patients according to the</w:t>
      </w:r>
      <w:r w:rsidRPr="00BD4D29">
        <w:rPr>
          <w:rFonts w:ascii="Times New Roman" w:hAnsi="Times New Roman" w:cs="Times New Roman"/>
          <w:b/>
          <w:bCs/>
        </w:rPr>
        <w:t xml:space="preserve"> “</w:t>
      </w:r>
      <w:r w:rsidR="00D47F42">
        <w:rPr>
          <w:rFonts w:ascii="Times New Roman" w:hAnsi="Times New Roman" w:cs="Times New Roman" w:hint="eastAsia"/>
          <w:b/>
          <w:bCs/>
        </w:rPr>
        <w:t>14-gene panel</w:t>
      </w:r>
      <w:r w:rsidRPr="00BD4D29">
        <w:rPr>
          <w:rFonts w:ascii="Times New Roman" w:hAnsi="Times New Roman" w:cs="Times New Roman"/>
          <w:b/>
          <w:bCs/>
        </w:rPr>
        <w:t>” signature.</w:t>
      </w:r>
    </w:p>
    <w:p w14:paraId="6CD6F419" w14:textId="71D5AC7A" w:rsidR="002B7477" w:rsidRPr="00C954AF" w:rsidRDefault="002B7477" w:rsidP="002B7477">
      <w:pPr>
        <w:spacing w:line="480" w:lineRule="auto"/>
        <w:rPr>
          <w:rFonts w:ascii="Times New Roman" w:hAnsi="Times New Roman" w:cs="Times New Roman"/>
        </w:rPr>
      </w:pPr>
      <w:r w:rsidRPr="00C954AF"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Time‒dependent</w:t>
      </w:r>
      <w:r w:rsidRPr="00C954AF">
        <w:rPr>
          <w:rFonts w:ascii="Times New Roman" w:hAnsi="Times New Roman" w:cs="Times New Roman"/>
        </w:rPr>
        <w:t xml:space="preserve"> ROC curve analysis of </w:t>
      </w:r>
      <w:r>
        <w:rPr>
          <w:rFonts w:ascii="Times New Roman" w:eastAsia="宋体" w:hAnsi="Times New Roman" w:cs="Times New Roman"/>
        </w:rPr>
        <w:t xml:space="preserve">the </w:t>
      </w:r>
      <w:r w:rsidRPr="00C954AF">
        <w:rPr>
          <w:rFonts w:ascii="Times New Roman" w:hAnsi="Times New Roman" w:cs="Times New Roman"/>
        </w:rPr>
        <w:t>TCGA-PDAC</w:t>
      </w:r>
      <w:r>
        <w:rPr>
          <w:rFonts w:ascii="Times New Roman" w:eastAsia="宋体" w:hAnsi="Times New Roman" w:cs="Times New Roman"/>
        </w:rPr>
        <w:t xml:space="preserve"> cohort</w:t>
      </w:r>
      <w:r w:rsidRPr="00C954AF">
        <w:rPr>
          <w:rFonts w:ascii="Times New Roman" w:hAnsi="Times New Roman" w:cs="Times New Roman"/>
        </w:rPr>
        <w:t>.</w:t>
      </w:r>
      <w:r w:rsidRPr="00755DF7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(B</w:t>
      </w:r>
      <w:r>
        <w:rPr>
          <w:rFonts w:ascii="Times New Roman" w:eastAsia="宋体" w:hAnsi="Times New Roman" w:cs="Times New Roman" w:hint="eastAsia"/>
        </w:rPr>
        <w:t>-C</w:t>
      </w:r>
      <w:r>
        <w:rPr>
          <w:rFonts w:ascii="Times New Roman" w:eastAsia="宋体" w:hAnsi="Times New Roman" w:cs="Times New Roman"/>
        </w:rPr>
        <w:t>)</w:t>
      </w:r>
      <w:r w:rsidRPr="00C954AF">
        <w:rPr>
          <w:rFonts w:ascii="Times New Roman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There was no significant</w:t>
      </w:r>
      <w:r w:rsidRPr="00C954AF">
        <w:rPr>
          <w:rFonts w:ascii="Times New Roman" w:hAnsi="Times New Roman" w:cs="Times New Roman"/>
        </w:rPr>
        <w:t xml:space="preserve"> relationship between clinicopathologic factors and the “</w:t>
      </w:r>
      <w:r w:rsidR="00D47F42">
        <w:rPr>
          <w:rFonts w:ascii="Times New Roman" w:hAnsi="Times New Roman" w:cs="Times New Roman" w:hint="eastAsia"/>
        </w:rPr>
        <w:t>14-gene panel</w:t>
      </w:r>
      <w:r w:rsidRPr="00C954AF">
        <w:rPr>
          <w:rFonts w:ascii="Times New Roman" w:hAnsi="Times New Roman" w:cs="Times New Roman"/>
        </w:rPr>
        <w:t>” cluster</w:t>
      </w:r>
      <w:r>
        <w:rPr>
          <w:rFonts w:ascii="Times New Roman" w:eastAsia="宋体" w:hAnsi="Times New Roman" w:cs="Times New Roman"/>
        </w:rPr>
        <w:t xml:space="preserve"> according to the multivariate (B) and univariate (C) Cox models</w:t>
      </w:r>
      <w:r w:rsidRPr="00C954AF">
        <w:rPr>
          <w:rFonts w:ascii="Times New Roman" w:hAnsi="Times New Roman" w:cs="Times New Roman"/>
        </w:rPr>
        <w:t>.</w:t>
      </w:r>
    </w:p>
    <w:p w14:paraId="0D5F5640" w14:textId="77777777" w:rsidR="002B7477" w:rsidRPr="00D47F42" w:rsidRDefault="002B7477" w:rsidP="002B7477">
      <w:pPr>
        <w:spacing w:line="480" w:lineRule="auto"/>
        <w:rPr>
          <w:rFonts w:ascii="Times New Roman" w:hAnsi="Times New Roman" w:cs="Times New Roman"/>
        </w:rPr>
      </w:pPr>
    </w:p>
    <w:p w14:paraId="31DB7908" w14:textId="09119517" w:rsidR="00251E9C" w:rsidRPr="00251E9C" w:rsidRDefault="00251E9C" w:rsidP="00251E9C">
      <w:pPr>
        <w:pStyle w:val="1"/>
        <w:jc w:val="center"/>
        <w:rPr>
          <w:rFonts w:ascii="Times New Roman" w:eastAsiaTheme="minorEastAsia" w:hAnsi="Times New Roman" w:cs="Times New Roman"/>
          <w:b/>
          <w:bCs/>
          <w:color w:val="auto"/>
          <w:sz w:val="21"/>
          <w:szCs w:val="24"/>
        </w:rPr>
      </w:pPr>
      <w:r w:rsidRPr="00251E9C">
        <w:rPr>
          <w:rFonts w:ascii="Times New Roman" w:eastAsiaTheme="minorEastAsia" w:hAnsi="Times New Roman" w:cs="Times New Roman"/>
          <w:b/>
          <w:bCs/>
          <w:color w:val="auto"/>
          <w:sz w:val="21"/>
          <w:szCs w:val="24"/>
        </w:rPr>
        <w:t>Table S1. Efferocytosis Related Genes</w:t>
      </w:r>
      <w:r>
        <w:rPr>
          <w:rFonts w:ascii="Times New Roman" w:eastAsiaTheme="minorEastAsia" w:hAnsi="Times New Roman" w:cs="Times New Roman" w:hint="eastAsia"/>
          <w:b/>
          <w:bCs/>
          <w:color w:val="auto"/>
          <w:sz w:val="21"/>
          <w:szCs w:val="24"/>
        </w:rPr>
        <w:t>.</w:t>
      </w:r>
    </w:p>
    <w:tbl>
      <w:tblPr>
        <w:tblStyle w:val="af2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918"/>
        <w:gridCol w:w="996"/>
        <w:gridCol w:w="858"/>
        <w:gridCol w:w="854"/>
        <w:gridCol w:w="886"/>
        <w:gridCol w:w="922"/>
        <w:gridCol w:w="861"/>
        <w:gridCol w:w="835"/>
        <w:gridCol w:w="835"/>
      </w:tblGrid>
      <w:tr w:rsidR="00251E9C" w14:paraId="29CF4420" w14:textId="77777777" w:rsidTr="00251E9C"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BBEE951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S100P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09B83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CCL2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ED167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PAPSS2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845A4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EMP3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893248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CAV1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5AED18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SIGLEC1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466BA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C5AR1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9C35B6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SIRPA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C57DB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SMAD7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753718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ODC1</w:t>
            </w:r>
          </w:p>
        </w:tc>
      </w:tr>
      <w:tr w:rsidR="00251E9C" w14:paraId="058D6D93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5402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TFF3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A679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PLBD1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5D74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BATF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00E6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ITGAX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4DF21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CD52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0D5CC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SPI1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6C0A9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FERMT3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9ED2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TIMP1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C089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QKI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2B31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RGCC</w:t>
            </w:r>
          </w:p>
        </w:tc>
      </w:tr>
      <w:tr w:rsidR="00251E9C" w14:paraId="6CE0FC24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1605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TESC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8DAF1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TYROBP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42F63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HCST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AA8A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SLC15A3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4F7A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C1QA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D3AC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AQP9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4A2D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SERPING1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89F1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DAB2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C5F5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C1orf56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3787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JUNB</w:t>
            </w:r>
          </w:p>
        </w:tc>
      </w:tr>
      <w:tr w:rsidR="00251E9C" w14:paraId="7B227B16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5D08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SAA1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E017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EMB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C23EC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CD37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B1D2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C1orf162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B3EB6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ITGB8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18D2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HCK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1047D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FBXO32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5D16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FAM49A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02E4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RCAN1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BFE9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CCRL2</w:t>
            </w:r>
          </w:p>
        </w:tc>
      </w:tr>
      <w:tr w:rsidR="00251E9C" w14:paraId="366B0E05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8ED7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SPP1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B7681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RGS16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DFF3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LST1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4BE58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SLC7A7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6F5E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CYBB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3B69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ALOX5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1AB3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SDS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2DC7D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PMP22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16A0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PDLIM1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D2E0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SLC31A2</w:t>
            </w:r>
          </w:p>
        </w:tc>
      </w:tr>
      <w:tr w:rsidR="00251E9C" w14:paraId="26A3CCDC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5A2F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S100A9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AC790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MMP14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69841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THBD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BF79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LBH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7219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FCGR3A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FA838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PTAFR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53F71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ACP5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F966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TTYH3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9209D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DOCK4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52046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OLR1</w:t>
            </w:r>
          </w:p>
        </w:tc>
      </w:tr>
      <w:tr w:rsidR="00251E9C" w14:paraId="0A6B4BFA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6ECE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IGFBP2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C84E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PPARG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4A541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FBP1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4A60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SAMHD1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308E0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COLEC12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87683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SLCO2B1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72820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LAPTM5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B37B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CAT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5D9A6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PDIA6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B918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C1QC</w:t>
            </w:r>
          </w:p>
        </w:tc>
      </w:tr>
      <w:tr w:rsidR="00251E9C" w14:paraId="2B6FAABE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E7E6D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FOSB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4F5D0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OSCAR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6FAB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HBEGF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D034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CD36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317CD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PER1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4F3F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MS4A7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0BC3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IER5L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1C0F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ABCG1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4403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EREG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1CD9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TNS3</w:t>
            </w:r>
          </w:p>
        </w:tc>
      </w:tr>
      <w:tr w:rsidR="00251E9C" w14:paraId="2EAD68B9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602CD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MARCO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6731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BCL2A1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B67D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EMP1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AAAF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SLC11A1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ECBF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KLF4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34F3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FABP4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3E42D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LAIR1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5665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THEMIS2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40933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MATK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1AB1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FRMD4A</w:t>
            </w:r>
          </w:p>
        </w:tc>
      </w:tr>
      <w:tr w:rsidR="00251E9C" w14:paraId="081F28DF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7531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ALDH1A1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BFABD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FABP5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F0CE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CD83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E2D5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TLR4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E4A6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CD163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8667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LY86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0E843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CD93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B08D0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SLA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DEF6C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CD300E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6F699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ASPH</w:t>
            </w:r>
          </w:p>
        </w:tc>
      </w:tr>
      <w:tr w:rsidR="00251E9C" w14:paraId="46539C8E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FABF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MMP9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4B1A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HIST1H1C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FC009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PDIA4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702D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EMILIN2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4EFB0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IL6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BF6E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BHLHE41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BA5B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PCOLCE2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1B80C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MMP19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784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MITF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9266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NCF2</w:t>
            </w:r>
          </w:p>
        </w:tc>
      </w:tr>
      <w:tr w:rsidR="00251E9C" w14:paraId="725FCD4F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9CA9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LYZ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D652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VSIG4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F989C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EPB41L3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E7F06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TTC39C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BE7A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RETN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34079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FCER1G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D2206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PILRA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EFF4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STX11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3D1A9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OTUD1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F00D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IL1B</w:t>
            </w:r>
          </w:p>
        </w:tc>
      </w:tr>
      <w:tr w:rsidR="00251E9C" w14:paraId="1A0797C4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4391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PLAU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049FC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VCAN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2F55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SH3BP5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B6F5C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MOB3B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C0B50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CYP27A1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AF5A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MS4A4A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F99D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SGK1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D4BD6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ENG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300D9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GLDN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44FD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PECAM1</w:t>
            </w:r>
          </w:p>
        </w:tc>
      </w:tr>
      <w:tr w:rsidR="00251E9C" w14:paraId="49F85A4E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5F79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CCL18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76CC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C1QB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63A0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CXCL16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E2AD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GPR65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E485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MNDA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9B0A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FPR1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A02E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FGR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E3FC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PIK3IP1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138F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PNPLA6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331B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MCOLN1</w:t>
            </w:r>
          </w:p>
        </w:tc>
      </w:tr>
      <w:tr w:rsidR="00251E9C" w14:paraId="677F8A99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D4E28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DUSP4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C3CFC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CFD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C4AF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ARHGAP18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4C12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IL3RA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272F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MSR1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2703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SOCS3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79DD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LIPA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FDD76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ARRDC4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FB7E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CD68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29100AE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51E9C" w14:paraId="767BB231" w14:textId="77777777" w:rsidTr="00251E9C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4F663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MRC1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CEF89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APOC1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E1DC1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IL1A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85DC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KCTD12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2DEB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A2M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694C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TUBB6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76E8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VIM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782F7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JUND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7FC5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LILRB3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0A799CA9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251E9C" w14:paraId="0BED2E61" w14:textId="77777777" w:rsidTr="00251E9C"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7007DA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BASP1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E9E806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MCEMP1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77000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GLIPR2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47FE55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FCN1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F4BFCC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RBP4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6EC26F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CSTA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26078B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PTGER4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FC5CEE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ACE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85CCA2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SLC16A6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084934" w14:textId="77777777" w:rsidR="00251E9C" w:rsidRDefault="00251E9C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</w:tbl>
    <w:p w14:paraId="2518F497" w14:textId="77777777" w:rsidR="00251E9C" w:rsidRDefault="00251E9C" w:rsidP="00251E9C">
      <w:pPr>
        <w:rPr>
          <w:rFonts w:ascii="Times New Roman" w:hAnsi="Times New Roman" w:cs="Times New Roman"/>
          <w:sz w:val="22"/>
          <w:szCs w:val="22"/>
          <w:lang w:eastAsia="en-US"/>
        </w:rPr>
      </w:pPr>
    </w:p>
    <w:p w14:paraId="05651C59" w14:textId="77777777" w:rsidR="00C5188B" w:rsidRPr="002B7477" w:rsidRDefault="00C5188B">
      <w:pPr>
        <w:rPr>
          <w:lang w:val="en-US"/>
        </w:rPr>
      </w:pPr>
    </w:p>
    <w:sectPr w:rsidR="00C5188B" w:rsidRPr="002B7477" w:rsidSect="002B7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BC850" w14:textId="77777777" w:rsidR="00307329" w:rsidRDefault="00307329" w:rsidP="00D47F42">
      <w:r>
        <w:separator/>
      </w:r>
    </w:p>
  </w:endnote>
  <w:endnote w:type="continuationSeparator" w:id="0">
    <w:p w14:paraId="716E9008" w14:textId="77777777" w:rsidR="00307329" w:rsidRDefault="00307329" w:rsidP="00D4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327AE" w14:textId="77777777" w:rsidR="00307329" w:rsidRDefault="00307329" w:rsidP="00D47F42">
      <w:r>
        <w:separator/>
      </w:r>
    </w:p>
  </w:footnote>
  <w:footnote w:type="continuationSeparator" w:id="0">
    <w:p w14:paraId="034531AE" w14:textId="77777777" w:rsidR="00307329" w:rsidRDefault="00307329" w:rsidP="00D47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ezMDIyNTexsDS3sDRV0lEKTi0uzszPAykwqgUAtWpkDywAAAA="/>
  </w:docVars>
  <w:rsids>
    <w:rsidRoot w:val="002B7477"/>
    <w:rsid w:val="0005460C"/>
    <w:rsid w:val="00251E9C"/>
    <w:rsid w:val="002B7477"/>
    <w:rsid w:val="00307329"/>
    <w:rsid w:val="003A6C67"/>
    <w:rsid w:val="003F4489"/>
    <w:rsid w:val="00634339"/>
    <w:rsid w:val="00A04F83"/>
    <w:rsid w:val="00A43738"/>
    <w:rsid w:val="00BD4D29"/>
    <w:rsid w:val="00C44789"/>
    <w:rsid w:val="00C5188B"/>
    <w:rsid w:val="00D4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2B69D1"/>
  <w15:chartTrackingRefBased/>
  <w15:docId w15:val="{FAF1737A-262C-49E4-837F-0DB57594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7477"/>
    <w:pPr>
      <w:widowControl w:val="0"/>
      <w:jc w:val="both"/>
    </w:pPr>
    <w:rPr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2B747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4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747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747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747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7477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47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747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747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B747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B74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B74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B747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B7477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B747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B747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B747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B747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B747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B74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747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B747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74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B747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747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B747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B74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B747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B7477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47F4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47F42"/>
    <w:rPr>
      <w:sz w:val="18"/>
      <w:szCs w:val="18"/>
      <w:lang w:val="en-GB"/>
    </w:rPr>
  </w:style>
  <w:style w:type="paragraph" w:styleId="af0">
    <w:name w:val="footer"/>
    <w:basedOn w:val="a"/>
    <w:link w:val="af1"/>
    <w:uiPriority w:val="99"/>
    <w:unhideWhenUsed/>
    <w:rsid w:val="00D47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47F42"/>
    <w:rPr>
      <w:sz w:val="18"/>
      <w:szCs w:val="18"/>
      <w:lang w:val="en-GB"/>
    </w:rPr>
  </w:style>
  <w:style w:type="table" w:styleId="af2">
    <w:name w:val="Table Grid"/>
    <w:basedOn w:val="a1"/>
    <w:uiPriority w:val="59"/>
    <w:qFormat/>
    <w:rsid w:val="00251E9C"/>
    <w:rPr>
      <w:rFonts w:eastAsia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4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zhao</dc:creator>
  <cp:keywords/>
  <dc:description/>
  <cp:lastModifiedBy>Molly</cp:lastModifiedBy>
  <cp:revision>5</cp:revision>
  <dcterms:created xsi:type="dcterms:W3CDTF">2025-06-29T14:02:00Z</dcterms:created>
  <dcterms:modified xsi:type="dcterms:W3CDTF">2025-07-24T01:35:00Z</dcterms:modified>
</cp:coreProperties>
</file>